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150"/>
      </w:pPr>
      <w:r>
        <w:rPr>
          <w:spacing w:val="-11"/>
        </w:rPr>
        <w:t>附件</w:t>
      </w:r>
      <w:r>
        <w:rPr>
          <w:spacing w:val="-58"/>
        </w:rPr>
        <w:t xml:space="preserve"> </w:t>
      </w:r>
      <w:r>
        <w:rPr>
          <w:spacing w:val="-11"/>
        </w:rPr>
        <w:t>2</w:t>
      </w:r>
    </w:p>
    <w:p>
      <w:pPr>
        <w:pStyle w:val="2"/>
        <w:spacing w:before="250" w:line="225" w:lineRule="auto"/>
        <w:ind w:left="2478"/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开户银行综合评分指标</w:t>
      </w:r>
    </w:p>
    <w:p>
      <w:pPr>
        <w:pStyle w:val="2"/>
        <w:spacing w:before="250" w:line="225" w:lineRule="auto"/>
        <w:ind w:left="2478"/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65" w:lineRule="exact"/>
      </w:pPr>
    </w:p>
    <w:tbl>
      <w:tblPr>
        <w:tblStyle w:val="5"/>
        <w:tblW w:w="8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6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4" w:type="dxa"/>
            <w:vAlign w:val="top"/>
          </w:tcPr>
          <w:p>
            <w:pPr>
              <w:spacing w:before="176" w:line="221" w:lineRule="auto"/>
              <w:ind w:left="5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6804" w:type="dxa"/>
            <w:vAlign w:val="top"/>
          </w:tcPr>
          <w:p>
            <w:pPr>
              <w:spacing w:before="176" w:line="221" w:lineRule="auto"/>
              <w:ind w:left="28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分项指标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91"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经营状况</w:t>
            </w:r>
          </w:p>
        </w:tc>
        <w:tc>
          <w:tcPr>
            <w:tcW w:w="6804" w:type="dxa"/>
            <w:vAlign w:val="top"/>
          </w:tcPr>
          <w:p>
            <w:pPr>
              <w:spacing w:before="172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净资产总额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2" w:line="219" w:lineRule="auto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资本充足率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2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不良贷款率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2" w:line="220" w:lineRule="auto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资产利润率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3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流动性比例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91" w:line="220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服务水平</w:t>
            </w:r>
          </w:p>
        </w:tc>
        <w:tc>
          <w:tcPr>
            <w:tcW w:w="6804" w:type="dxa"/>
            <w:vAlign w:val="top"/>
          </w:tcPr>
          <w:p>
            <w:pPr>
              <w:spacing w:before="175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账户管理能力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4" w:line="220" w:lineRule="auto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资金结算能力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4" w:line="220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对账服务水平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4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服务便捷性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4" w:type="dxa"/>
            <w:vAlign w:val="top"/>
          </w:tcPr>
          <w:p>
            <w:pPr>
              <w:spacing w:before="174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其他特色金融服务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4" w:type="dxa"/>
            <w:vAlign w:val="top"/>
          </w:tcPr>
          <w:p>
            <w:pPr>
              <w:spacing w:before="231" w:line="220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支持力度</w:t>
            </w:r>
          </w:p>
        </w:tc>
        <w:tc>
          <w:tcPr>
            <w:tcW w:w="6804" w:type="dxa"/>
            <w:vAlign w:val="top"/>
          </w:tcPr>
          <w:p>
            <w:pPr>
              <w:spacing w:before="232" w:line="219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对国金院事业发展、校园建设提供的支持情况。</w:t>
            </w:r>
          </w:p>
        </w:tc>
      </w:tr>
    </w:tbl>
    <w:p>
      <w:pPr>
        <w:widowControl/>
        <w:shd w:val="clear" w:color="auto" w:fill="FFFFFF"/>
        <w:spacing w:line="450" w:lineRule="atLeast"/>
        <w:ind w:right="-1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注：经营状况根据所在银行总行最近一年年度报告数据计算得出，服务水平及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支持力度</w:t>
      </w:r>
      <w:r>
        <w:rPr>
          <w:rFonts w:hint="eastAsia" w:ascii="宋体" w:hAnsi="宋体" w:eastAsia="宋体" w:cs="宋体"/>
          <w:sz w:val="28"/>
          <w:szCs w:val="28"/>
        </w:rPr>
        <w:t>为参评银行指标。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textAlignment w:val="baseline"/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3MjY2ZGE5NjM1YjM1NTFlNDdiNGU5NjY0ZDQxZDcifQ=="/>
  </w:docVars>
  <w:rsids>
    <w:rsidRoot w:val="00000000"/>
    <w:rsid w:val="08065580"/>
    <w:rsid w:val="31CD420B"/>
    <w:rsid w:val="521A4A8F"/>
    <w:rsid w:val="5FC75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2024-03-15T23:34:00Z</dcterms:created>
  <dc:creator>吕贤</dc:creator>
  <cp:lastModifiedBy>呵呵呵</cp:lastModifiedBy>
  <dcterms:modified xsi:type="dcterms:W3CDTF">2024-04-02T06:55:17Z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2024-04-02T14:05:27Z</vt:filetime>
  </property>
  <property fmtid="{D5CDD505-2E9C-101B-9397-08002B2CF9AE}" pid="4" name="KSOProductBuildVer">
    <vt:lpwstr>2052-12.1.0.16388</vt:lpwstr>
  </property>
  <property fmtid="{D5CDD505-2E9C-101B-9397-08002B2CF9AE}" pid="5" name="ICV">
    <vt:lpwstr>E5F947C6E0434B5D88F549F58C55710E_12</vt:lpwstr>
  </property>
</Properties>
</file>